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jc w:val="right"/>
        <w:tblLook w:val="04A0" w:firstRow="1" w:lastRow="0" w:firstColumn="1" w:lastColumn="0" w:noHBand="0" w:noVBand="1"/>
      </w:tblPr>
      <w:tblGrid>
        <w:gridCol w:w="2676"/>
        <w:gridCol w:w="7890"/>
      </w:tblGrid>
      <w:tr w:rsidR="00C67EC3" w:rsidRPr="00805315" w:rsidTr="00D402EC">
        <w:trPr>
          <w:jc w:val="right"/>
        </w:trPr>
        <w:tc>
          <w:tcPr>
            <w:tcW w:w="2662" w:type="dxa"/>
          </w:tcPr>
          <w:p w:rsidR="00C67EC3" w:rsidRPr="00805315" w:rsidRDefault="00C67EC3" w:rsidP="00D402EC">
            <w:pPr>
              <w:spacing w:after="0" w:line="240" w:lineRule="auto"/>
              <w:jc w:val="both"/>
            </w:pPr>
            <w:r w:rsidRPr="00805315">
              <w:rPr>
                <w:noProof/>
              </w:rPr>
              <w:drawing>
                <wp:inline distT="0" distB="0" distL="0" distR="0">
                  <wp:extent cx="1552575" cy="1695450"/>
                  <wp:effectExtent l="0" t="0" r="9525" b="0"/>
                  <wp:docPr id="2" name="Picture 2" descr="DCF-logo-cropped-TI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CF-logo-cropped-TI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C67EC3" w:rsidRDefault="00C67EC3" w:rsidP="00D402EC">
            <w:pPr>
              <w:spacing w:after="0" w:line="240" w:lineRule="auto"/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C67EC3" w:rsidRDefault="00C67EC3" w:rsidP="00D402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ab/>
            </w:r>
          </w:p>
          <w:p w:rsidR="00C67EC3" w:rsidRPr="00D82A91" w:rsidRDefault="00C67EC3" w:rsidP="00D402EC">
            <w:pPr>
              <w:tabs>
                <w:tab w:val="left" w:pos="1635"/>
              </w:tabs>
              <w:spacing w:after="0" w:line="240" w:lineRule="auto"/>
              <w:ind w:firstLine="720"/>
              <w:jc w:val="both"/>
              <w:rPr>
                <w:rFonts w:ascii="Sylfaen" w:hAnsi="Sylfaen"/>
                <w:sz w:val="28"/>
                <w:szCs w:val="32"/>
                <w:lang w:val="ka-GE"/>
              </w:rPr>
            </w:pPr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>ა(ა)იპ „</w:t>
            </w:r>
            <w:proofErr w:type="spellStart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>დივაინ</w:t>
            </w:r>
            <w:proofErr w:type="spellEnd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 xml:space="preserve"> </w:t>
            </w:r>
            <w:proofErr w:type="spellStart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>ჩაილდ</w:t>
            </w:r>
            <w:proofErr w:type="spellEnd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 xml:space="preserve"> ფაუნდეიშენ ოფ ჯორჯია“</w:t>
            </w:r>
          </w:p>
          <w:p w:rsidR="00C67EC3" w:rsidRPr="00D82A91" w:rsidRDefault="00C67EC3" w:rsidP="00D402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                                              DCFG</w:t>
            </w:r>
          </w:p>
          <w:p w:rsidR="00C67EC3" w:rsidRPr="00732732" w:rsidRDefault="00C67EC3" w:rsidP="00D402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</w:rPr>
            </w:pPr>
          </w:p>
          <w:p w:rsidR="00C67EC3" w:rsidRDefault="00C67EC3" w:rsidP="00D402EC">
            <w:pPr>
              <w:tabs>
                <w:tab w:val="left" w:pos="945"/>
                <w:tab w:val="right" w:pos="7688"/>
              </w:tabs>
              <w:spacing w:after="0" w:line="240" w:lineRule="auto"/>
              <w:jc w:val="both"/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r>
              <w:rPr>
                <w:rFonts w:ascii="Verdana" w:eastAsia="Times New Roman" w:hAnsi="Verdana"/>
                <w:color w:val="550055"/>
                <w:sz w:val="24"/>
                <w:szCs w:val="24"/>
                <w:lang w:val="en-GB"/>
              </w:rPr>
              <w:tab/>
            </w:r>
            <w:r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  <w:t xml:space="preserve">                                </w:t>
            </w:r>
          </w:p>
          <w:p w:rsidR="00C67EC3" w:rsidRPr="00227DE8" w:rsidRDefault="00C67EC3" w:rsidP="00D402EC">
            <w:pPr>
              <w:tabs>
                <w:tab w:val="left" w:pos="945"/>
                <w:tab w:val="right" w:pos="7688"/>
              </w:tabs>
              <w:spacing w:after="0" w:line="240" w:lineRule="auto"/>
              <w:jc w:val="both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  <w:t xml:space="preserve">                        </w:t>
            </w:r>
            <w:r>
              <w:rPr>
                <w:rFonts w:ascii="Sylfaen" w:eastAsia="Times New Roman" w:hAnsi="Sylfaen"/>
                <w:b/>
                <w:color w:val="550055"/>
                <w:sz w:val="32"/>
                <w:szCs w:val="24"/>
                <w:lang w:val="ka-GE"/>
              </w:rPr>
              <w:t xml:space="preserve"> </w:t>
            </w:r>
          </w:p>
        </w:tc>
      </w:tr>
    </w:tbl>
    <w:p w:rsidR="00C67EC3" w:rsidRPr="00D82A91" w:rsidRDefault="00C67EC3" w:rsidP="00C67EC3">
      <w:pPr>
        <w:pStyle w:val="NormalWeb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ინფორმაცია ტენდერისთვის</w:t>
      </w:r>
    </w:p>
    <w:p w:rsidR="00C67EC3" w:rsidRPr="00D82A91" w:rsidRDefault="00C67EC3" w:rsidP="005B009A">
      <w:pPr>
        <w:pStyle w:val="NormalWeb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                </w:t>
      </w:r>
      <w:r>
        <w:rPr>
          <w:rFonts w:ascii="Sylfaen" w:hAnsi="Sylfaen"/>
          <w:sz w:val="20"/>
          <w:szCs w:val="20"/>
          <w:lang w:val="ka-GE"/>
        </w:rPr>
        <w:t>შემსყიდველი</w:t>
      </w:r>
      <w:r>
        <w:rPr>
          <w:rFonts w:ascii="Sylfaen" w:hAnsi="Sylfaen"/>
          <w:sz w:val="20"/>
          <w:szCs w:val="20"/>
        </w:rPr>
        <w:t xml:space="preserve">   </w:t>
      </w:r>
      <w:r w:rsidRPr="00D82A91">
        <w:rPr>
          <w:rFonts w:ascii="Sylfaen" w:hAnsi="Sylfaen"/>
          <w:sz w:val="20"/>
          <w:szCs w:val="20"/>
          <w:lang w:val="ka-GE"/>
        </w:rPr>
        <w:t>ორგანიზაცია ა</w:t>
      </w:r>
      <w:r>
        <w:rPr>
          <w:rFonts w:ascii="Sylfaen" w:hAnsi="Sylfaen"/>
          <w:sz w:val="20"/>
          <w:szCs w:val="20"/>
          <w:lang w:val="ka-GE"/>
        </w:rPr>
        <w:t>(</w:t>
      </w:r>
      <w:r w:rsidRPr="00D82A91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)</w:t>
      </w:r>
      <w:r w:rsidRPr="00D82A91">
        <w:rPr>
          <w:rFonts w:ascii="Sylfaen" w:hAnsi="Sylfaen"/>
          <w:sz w:val="20"/>
          <w:szCs w:val="20"/>
          <w:lang w:val="ka-GE"/>
        </w:rPr>
        <w:t>იპ „</w:t>
      </w:r>
      <w:proofErr w:type="spellStart"/>
      <w:r w:rsidRPr="00D82A91">
        <w:rPr>
          <w:rFonts w:ascii="Sylfaen" w:hAnsi="Sylfaen"/>
          <w:sz w:val="20"/>
          <w:szCs w:val="20"/>
          <w:lang w:val="ka-GE"/>
        </w:rPr>
        <w:t>დივაინ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82A91">
        <w:rPr>
          <w:rFonts w:ascii="Sylfaen" w:hAnsi="Sylfaen"/>
          <w:sz w:val="20"/>
          <w:szCs w:val="20"/>
          <w:lang w:val="ka-GE"/>
        </w:rPr>
        <w:t>ჩაილდ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ფაუნდეიშენ ოფ ჯორჯია“ .</w:t>
      </w:r>
    </w:p>
    <w:p w:rsidR="00C67EC3" w:rsidRPr="00D82A91" w:rsidRDefault="00C67EC3" w:rsidP="005B009A">
      <w:pPr>
        <w:pStyle w:val="NormalWeb"/>
        <w:ind w:left="720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შესყიდვის სავარაუდო ღირებულებაა </w:t>
      </w:r>
      <w:r w:rsidRPr="005B009A">
        <w:rPr>
          <w:rFonts w:ascii="Sylfaen" w:hAnsi="Sylfaen"/>
          <w:sz w:val="20"/>
          <w:szCs w:val="20"/>
        </w:rPr>
        <w:t>3</w:t>
      </w:r>
      <w:r w:rsidR="005B009A" w:rsidRPr="005B009A">
        <w:rPr>
          <w:rFonts w:ascii="Sylfaen" w:hAnsi="Sylfaen"/>
          <w:sz w:val="20"/>
          <w:szCs w:val="20"/>
        </w:rPr>
        <w:t>610</w:t>
      </w:r>
      <w:r w:rsidR="005B009A">
        <w:rPr>
          <w:rFonts w:ascii="Sylfaen" w:hAnsi="Sylfaen"/>
          <w:sz w:val="20"/>
          <w:szCs w:val="20"/>
        </w:rPr>
        <w:t>0.00</w:t>
      </w:r>
      <w:r w:rsidRPr="00D82A91">
        <w:rPr>
          <w:rFonts w:ascii="Sylfaen" w:hAnsi="Sylfaen"/>
          <w:sz w:val="20"/>
          <w:szCs w:val="20"/>
          <w:lang w:val="ka-GE"/>
        </w:rPr>
        <w:t xml:space="preserve"> </w:t>
      </w:r>
      <w:r w:rsidR="005B009A" w:rsidRPr="00D82A91">
        <w:rPr>
          <w:rFonts w:ascii="Sylfaen" w:hAnsi="Sylfaen"/>
          <w:sz w:val="20"/>
          <w:szCs w:val="20"/>
          <w:lang w:val="ka-GE"/>
        </w:rPr>
        <w:t>ლარი.</w:t>
      </w:r>
      <w:r w:rsidR="005B009A" w:rsidRPr="00D82A91">
        <w:rPr>
          <w:rFonts w:ascii="Sylfaen" w:hAnsi="Sylfaen"/>
          <w:sz w:val="20"/>
          <w:szCs w:val="20"/>
          <w:lang w:val="ka-GE"/>
        </w:rPr>
        <w:t xml:space="preserve"> </w:t>
      </w:r>
      <w:r w:rsidRPr="00D82A91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Pr="00D82A91">
        <w:rPr>
          <w:rFonts w:ascii="Sylfaen" w:hAnsi="Sylfaen"/>
          <w:sz w:val="20"/>
          <w:szCs w:val="20"/>
          <w:lang w:val="ka-GE"/>
        </w:rPr>
        <w:t>ოცდათ</w:t>
      </w:r>
      <w:r w:rsidR="005B009A">
        <w:rPr>
          <w:rFonts w:ascii="Sylfaen" w:hAnsi="Sylfaen"/>
          <w:sz w:val="20"/>
          <w:szCs w:val="20"/>
          <w:lang w:val="ka-GE"/>
        </w:rPr>
        <w:t>ექვსმეტიათასასი</w:t>
      </w:r>
      <w:proofErr w:type="spellEnd"/>
      <w:r w:rsidR="005B009A">
        <w:rPr>
          <w:rFonts w:ascii="Sylfaen" w:hAnsi="Sylfaen"/>
          <w:sz w:val="20"/>
          <w:szCs w:val="20"/>
          <w:lang w:val="ka-GE"/>
        </w:rPr>
        <w:t xml:space="preserve"> </w:t>
      </w:r>
      <w:r w:rsidRPr="00D82A91">
        <w:rPr>
          <w:rFonts w:ascii="Sylfaen" w:hAnsi="Sylfaen"/>
          <w:sz w:val="20"/>
          <w:szCs w:val="20"/>
          <w:lang w:val="ka-GE"/>
        </w:rPr>
        <w:t xml:space="preserve">ლარი </w:t>
      </w:r>
      <w:r w:rsidR="005B009A">
        <w:rPr>
          <w:rFonts w:ascii="Sylfaen" w:hAnsi="Sylfaen"/>
          <w:sz w:val="20"/>
          <w:szCs w:val="20"/>
          <w:lang w:val="ka-GE"/>
        </w:rPr>
        <w:t>00</w:t>
      </w:r>
      <w:r w:rsidRPr="00D82A91">
        <w:rPr>
          <w:rFonts w:ascii="Sylfaen" w:hAnsi="Sylfaen"/>
          <w:sz w:val="20"/>
          <w:szCs w:val="20"/>
          <w:lang w:val="ka-GE"/>
        </w:rPr>
        <w:t xml:space="preserve"> თეთრი) </w:t>
      </w:r>
    </w:p>
    <w:p w:rsidR="00C67EC3" w:rsidRPr="00D82A91" w:rsidRDefault="00C67EC3" w:rsidP="00C67EC3">
      <w:pPr>
        <w:pStyle w:val="NormalWeb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შესყიდვის საგანია ქ. ქუთაისსა და ქ. თბილისში  მდებარე </w:t>
      </w:r>
      <w:proofErr w:type="spellStart"/>
      <w:r w:rsidRPr="00D82A91">
        <w:rPr>
          <w:rFonts w:ascii="Sylfaen" w:hAnsi="Sylfaen"/>
          <w:sz w:val="20"/>
          <w:szCs w:val="20"/>
          <w:lang w:val="ka-GE"/>
        </w:rPr>
        <w:t>სპეციალიზირებული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მცირე საოჯახო სახლებ</w:t>
      </w:r>
      <w:r>
        <w:rPr>
          <w:rFonts w:ascii="Sylfaen" w:hAnsi="Sylfaen"/>
          <w:sz w:val="20"/>
          <w:szCs w:val="20"/>
          <w:lang w:val="ka-GE"/>
        </w:rPr>
        <w:t>ში მცხოვრები შეზღუდული შესაძლებლობის მქონე</w:t>
      </w:r>
      <w:r w:rsidRPr="00D82A91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ბავშვებისთვის დამხმარე საშუალებების შეძენა, რომელთა რაოდენობა, ზომები და ნიმუშები </w:t>
      </w:r>
      <w:r w:rsidRPr="00D82A91">
        <w:rPr>
          <w:rFonts w:ascii="Sylfaen" w:hAnsi="Sylfaen"/>
          <w:sz w:val="20"/>
          <w:szCs w:val="20"/>
          <w:lang w:val="ka-GE"/>
        </w:rPr>
        <w:t xml:space="preserve">მოცემულია თანდართულ ტექნიკურ დავალებაში. </w:t>
      </w:r>
    </w:p>
    <w:p w:rsidR="00C67EC3" w:rsidRPr="00D82A91" w:rsidRDefault="00C67EC3" w:rsidP="00C67EC3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sz w:val="19"/>
          <w:szCs w:val="19"/>
        </w:rPr>
      </w:pPr>
      <w:r w:rsidRPr="00D82A91">
        <w:rPr>
          <w:rFonts w:ascii="Sylfaen" w:hAnsi="Sylfaen"/>
          <w:sz w:val="20"/>
          <w:szCs w:val="20"/>
          <w:lang w:val="ka-GE"/>
        </w:rPr>
        <w:t>შესყიდვის ღირებულებაში გათვალისწინებული უნდა იყოს:</w:t>
      </w:r>
    </w:p>
    <w:p w:rsidR="00C67EC3" w:rsidRPr="00D82A91" w:rsidRDefault="00C67EC3" w:rsidP="00C67EC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 w:firstLine="270"/>
        <w:jc w:val="both"/>
        <w:rPr>
          <w:rFonts w:ascii="Arial" w:eastAsia="Times New Roman" w:hAnsi="Arial" w:cs="Arial"/>
          <w:sz w:val="19"/>
          <w:szCs w:val="19"/>
        </w:rPr>
      </w:pPr>
      <w:r w:rsidRPr="00ED2F2F">
        <w:rPr>
          <w:rFonts w:ascii="Sylfaen" w:eastAsia="Times New Roman" w:hAnsi="Sylfaen" w:cs="Arial"/>
          <w:sz w:val="19"/>
          <w:szCs w:val="19"/>
          <w:lang w:val="ka-GE"/>
        </w:rPr>
        <w:t>აღჭურვილობის ტრანსპორტირება ქუთაისის და თბილისის მცირე საოჯახო სახლებში</w:t>
      </w:r>
      <w:r w:rsidRPr="00D82A91">
        <w:rPr>
          <w:rFonts w:ascii="Sylfaen" w:eastAsia="Times New Roman" w:hAnsi="Sylfaen" w:cs="Arial"/>
          <w:sz w:val="19"/>
          <w:szCs w:val="19"/>
          <w:lang w:val="ka-GE"/>
        </w:rPr>
        <w:t>.</w:t>
      </w:r>
    </w:p>
    <w:p w:rsidR="00C67EC3" w:rsidRPr="00ED2F2F" w:rsidRDefault="00C67EC3" w:rsidP="00C67EC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 w:firstLine="270"/>
        <w:jc w:val="both"/>
        <w:rPr>
          <w:rFonts w:ascii="Arial" w:eastAsia="Times New Roman" w:hAnsi="Arial" w:cs="Arial"/>
          <w:sz w:val="19"/>
          <w:szCs w:val="19"/>
        </w:rPr>
      </w:pPr>
      <w:r w:rsidRPr="00ED2F2F">
        <w:rPr>
          <w:rFonts w:ascii="Sylfaen" w:eastAsia="Times New Roman" w:hAnsi="Sylfaen" w:cs="Arial"/>
          <w:sz w:val="19"/>
          <w:szCs w:val="19"/>
          <w:lang w:val="ka-GE"/>
        </w:rPr>
        <w:t>აღჭურვილობის აწყობა / მონტაჟი</w:t>
      </w:r>
    </w:p>
    <w:p w:rsidR="00C67EC3" w:rsidRPr="00ED2F2F" w:rsidRDefault="00C67EC3" w:rsidP="00C67EC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 w:firstLine="270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Sylfaen" w:eastAsia="Times New Roman" w:hAnsi="Sylfaen" w:cs="Arial"/>
          <w:sz w:val="19"/>
          <w:szCs w:val="19"/>
          <w:lang w:val="ka-GE"/>
        </w:rPr>
        <w:t xml:space="preserve">მომსახურების </w:t>
      </w:r>
      <w:r w:rsidRPr="00ED2F2F">
        <w:rPr>
          <w:rFonts w:ascii="Sylfaen" w:eastAsia="Times New Roman" w:hAnsi="Sylfaen" w:cs="Arial"/>
          <w:sz w:val="19"/>
          <w:szCs w:val="19"/>
          <w:lang w:val="ka-GE"/>
        </w:rPr>
        <w:t>პერსონალის მომზადება/ინსტრუქტაჟი აღჭურვილობის გამოყენებაში.</w:t>
      </w:r>
    </w:p>
    <w:p w:rsidR="00C67EC3" w:rsidRDefault="00C67EC3" w:rsidP="00FE2C41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720" w:hanging="990"/>
        <w:rPr>
          <w:rFonts w:ascii="Sylfaen" w:eastAsia="Times New Roman" w:hAnsi="Sylfaen" w:cs="Arial"/>
          <w:sz w:val="19"/>
          <w:szCs w:val="19"/>
          <w:lang w:val="ka-GE"/>
        </w:rPr>
      </w:pPr>
      <w:r>
        <w:rPr>
          <w:rFonts w:ascii="Sylfaen" w:eastAsia="Times New Roman" w:hAnsi="Sylfaen" w:cs="Arial"/>
          <w:sz w:val="19"/>
          <w:szCs w:val="19"/>
        </w:rPr>
        <w:t xml:space="preserve">                    </w:t>
      </w:r>
      <w:r>
        <w:rPr>
          <w:rFonts w:ascii="Sylfaen" w:eastAsia="Times New Roman" w:hAnsi="Sylfaen" w:cs="Arial"/>
          <w:sz w:val="19"/>
          <w:szCs w:val="19"/>
          <w:lang w:val="ka-GE"/>
        </w:rPr>
        <w:t>დამხმარე საშუალებები უნდა იყოს საერთაშორისო</w:t>
      </w:r>
      <w:r w:rsidRPr="00D82A91">
        <w:rPr>
          <w:rFonts w:ascii="Sylfaen" w:eastAsia="Times New Roman" w:hAnsi="Sylfaen" w:cs="Arial"/>
          <w:sz w:val="19"/>
          <w:szCs w:val="19"/>
          <w:lang w:val="ka-GE"/>
        </w:rPr>
        <w:t xml:space="preserve"> </w:t>
      </w:r>
      <w:r w:rsidRPr="00ED2F2F">
        <w:rPr>
          <w:rFonts w:ascii="Sylfaen" w:eastAsia="Times New Roman" w:hAnsi="Sylfaen" w:cs="Arial"/>
          <w:sz w:val="19"/>
          <w:szCs w:val="19"/>
          <w:lang w:val="ka-GE"/>
        </w:rPr>
        <w:t xml:space="preserve"> სტანდარტებთან</w:t>
      </w:r>
      <w:r>
        <w:rPr>
          <w:rFonts w:ascii="Sylfaen" w:eastAsia="Times New Roman" w:hAnsi="Sylfaen" w:cs="Arial"/>
          <w:sz w:val="19"/>
          <w:szCs w:val="19"/>
          <w:lang w:val="ka-GE"/>
        </w:rPr>
        <w:t xml:space="preserve"> შესაბამისობაში.  პრეტენდენტმა უნდა წარმოადგინოს  ინფორმაცია  მათ მიერ მოსაწოდებელი აღჭურვილობის სტანდარტებთან შესაბამისობისა </w:t>
      </w:r>
      <w:r w:rsidRPr="00ED2F2F">
        <w:rPr>
          <w:rFonts w:ascii="Sylfaen" w:eastAsia="Times New Roman" w:hAnsi="Sylfaen" w:cs="Arial"/>
          <w:sz w:val="19"/>
          <w:szCs w:val="19"/>
          <w:lang w:val="ka-GE"/>
        </w:rPr>
        <w:t xml:space="preserve"> </w:t>
      </w:r>
      <w:r>
        <w:rPr>
          <w:rFonts w:ascii="Sylfaen" w:eastAsia="Times New Roman" w:hAnsi="Sylfaen" w:cs="Arial"/>
          <w:sz w:val="19"/>
          <w:szCs w:val="19"/>
          <w:lang w:val="ka-GE"/>
        </w:rPr>
        <w:t xml:space="preserve"> და ხარისხის  გარანტიის შესახებ. კომპანიის შერჩევის შემთხვევაში აღნიშნული ოფიციალური დოკუმენტაცია უნდა ახლდეს თან დამხმარე საშუალებებს. </w:t>
      </w:r>
    </w:p>
    <w:p w:rsidR="00C67EC3" w:rsidRPr="00D82A91" w:rsidRDefault="00C67EC3" w:rsidP="00FE2C41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720" w:hanging="990"/>
        <w:rPr>
          <w:rFonts w:ascii="Sylfaen" w:eastAsia="Times New Roman" w:hAnsi="Sylfaen" w:cs="Arial"/>
          <w:sz w:val="19"/>
          <w:szCs w:val="19"/>
          <w:lang w:val="ka-GE"/>
        </w:rPr>
      </w:pPr>
      <w:r w:rsidRPr="00F4036D">
        <w:rPr>
          <w:rFonts w:ascii="Sylfaen" w:eastAsia="Times New Roman" w:hAnsi="Sylfaen" w:cs="Arial"/>
          <w:sz w:val="19"/>
          <w:szCs w:val="19"/>
        </w:rPr>
        <w:t xml:space="preserve">                     </w:t>
      </w:r>
      <w:r w:rsidRPr="00D402EC">
        <w:rPr>
          <w:rFonts w:ascii="Sylfaen" w:eastAsia="Times New Roman" w:hAnsi="Sylfaen" w:cs="Arial"/>
          <w:sz w:val="19"/>
          <w:szCs w:val="19"/>
          <w:lang w:val="ka-GE"/>
        </w:rPr>
        <w:t>მომწოდებელი ვალდებულია აღნიშნული აღჭურვილობის მოწოდება  განახორციელოს ხელშეკრულების გაფორმებიდან  3 თვის ვადაში</w:t>
      </w:r>
      <w:r w:rsidRPr="00F4036D">
        <w:rPr>
          <w:rFonts w:ascii="Sylfaen" w:eastAsia="Times New Roman" w:hAnsi="Sylfaen" w:cs="Arial"/>
          <w:sz w:val="19"/>
          <w:szCs w:val="19"/>
          <w:lang w:val="ka-GE"/>
        </w:rPr>
        <w:t>.</w:t>
      </w:r>
    </w:p>
    <w:p w:rsidR="00C67EC3" w:rsidRDefault="00C67EC3" w:rsidP="00C67EC3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630" w:hanging="990"/>
        <w:jc w:val="both"/>
        <w:rPr>
          <w:rFonts w:ascii="Sylfaen" w:hAnsi="Sylfaen"/>
          <w:sz w:val="20"/>
          <w:szCs w:val="20"/>
          <w:lang w:val="ka-GE"/>
        </w:rPr>
      </w:pPr>
    </w:p>
    <w:p w:rsidR="00C67EC3" w:rsidRDefault="00C67EC3" w:rsidP="00C67EC3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  <w:proofErr w:type="spellStart"/>
      <w:r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წინადადება უნდა მოიცავდეს შემდეგს:</w:t>
      </w:r>
    </w:p>
    <w:p w:rsidR="00C67EC3" w:rsidRDefault="00C67EC3" w:rsidP="00C67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ტექნიკური დავალება (იხილეთ დანართი #1). ტექნიკური დავალების შესასრულებლად დართულია ნიმუში (იხ. დანართი #2)</w:t>
      </w:r>
    </w:p>
    <w:p w:rsidR="00C67EC3" w:rsidRDefault="00C67EC3" w:rsidP="00281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ინფორმაცია დამხმარე საშუალებების </w:t>
      </w:r>
      <w:r w:rsidRPr="00956174">
        <w:rPr>
          <w:rFonts w:ascii="Sylfaen" w:hAnsi="Sylfaen"/>
          <w:sz w:val="20"/>
          <w:szCs w:val="20"/>
          <w:lang w:val="ka-GE"/>
        </w:rPr>
        <w:t xml:space="preserve">საერთაშორისო  სტანდარტებთან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შესაბამისობის და გარანტიის პირობების შესახებ 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/>
          <w:sz w:val="20"/>
          <w:szCs w:val="20"/>
          <w:lang w:val="ka-GE"/>
        </w:rPr>
        <w:t xml:space="preserve">მაგალითად, დამხმარე საშულებების კომპანიის წერილი, ინფორმაცია კომპანიის ვებ-გვერდიდან და სხვა)  </w:t>
      </w:r>
    </w:p>
    <w:p w:rsidR="00C67EC3" w:rsidRDefault="00C67EC3" w:rsidP="00281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ინფორმაცია ორგანიზაციის გამოცდილების შესახებ შეზღუდული შესაძლებლობის მქონე ბავშვების ან ზრდასრული პირების დამხმარე საშუალებებით  უზრუნველყოფის კუთხით (ინფორმაცია განხორციელებული აქტივობების შესახებ)</w:t>
      </w:r>
    </w:p>
    <w:p w:rsidR="00C67EC3" w:rsidRDefault="00C67EC3" w:rsidP="00281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იმ პროფესიონალის/პროფესიონალების ავტობიოგრაფია (</w:t>
      </w:r>
      <w:r>
        <w:rPr>
          <w:rFonts w:ascii="Sylfaen" w:hAnsi="Sylfaen"/>
          <w:sz w:val="20"/>
          <w:szCs w:val="20"/>
        </w:rPr>
        <w:t>CV</w:t>
      </w:r>
      <w:r>
        <w:rPr>
          <w:rFonts w:ascii="Sylfaen" w:hAnsi="Sylfaen"/>
          <w:sz w:val="20"/>
          <w:szCs w:val="20"/>
          <w:lang w:val="ka-GE"/>
        </w:rPr>
        <w:t>) და განათლების დამადასტურებელი დოკუმენტაცია, რომლებიც უზრუნველყოფენ ბავშვებისთვის დამხმარე საშუალებების მორგებას და მომსახურების პერსონალის ინსტრუქტაჟს.</w:t>
      </w:r>
    </w:p>
    <w:p w:rsidR="00C67EC3" w:rsidRDefault="00C67EC3" w:rsidP="00281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ინფორმაცია ორგანიზაციის საგადასახადო დავალიანების შესახებ.</w:t>
      </w:r>
    </w:p>
    <w:p w:rsidR="00C67EC3" w:rsidRDefault="00C67EC3" w:rsidP="00C67E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სასურველია ორგანიზაციას ქონდეს გამოცდილება საერთაშორისო შესყიდვების კუთხით. </w:t>
      </w:r>
    </w:p>
    <w:p w:rsidR="00C67EC3" w:rsidRPr="00027436" w:rsidRDefault="00C67EC3" w:rsidP="00C67EC3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630" w:hanging="990"/>
        <w:jc w:val="both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82A91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წინადადების წარმოდგენის ბოლო ვადაა 05.10. 2018.  1</w:t>
      </w:r>
      <w:r w:rsidRPr="00D82A91">
        <w:rPr>
          <w:rFonts w:ascii="Sylfaen" w:hAnsi="Sylfaen"/>
          <w:sz w:val="20"/>
          <w:szCs w:val="20"/>
        </w:rPr>
        <w:t>2</w:t>
      </w:r>
      <w:r w:rsidRPr="00D82A91">
        <w:rPr>
          <w:rFonts w:ascii="Sylfaen" w:hAnsi="Sylfaen"/>
          <w:sz w:val="20"/>
          <w:szCs w:val="20"/>
          <w:lang w:val="ka-GE"/>
        </w:rPr>
        <w:t>:00 სთ.</w:t>
      </w:r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>საკონტაქტო პირი ლალი ცერცვაძე.</w:t>
      </w:r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 ტელ: 574 557 554; </w:t>
      </w:r>
      <w:r w:rsidRPr="00D82A91">
        <w:rPr>
          <w:rFonts w:ascii="Sylfaen" w:hAnsi="Sylfaen"/>
          <w:sz w:val="20"/>
          <w:szCs w:val="20"/>
        </w:rPr>
        <w:t xml:space="preserve"> </w:t>
      </w:r>
      <w:r w:rsidRPr="00D82A91">
        <w:rPr>
          <w:rFonts w:ascii="Sylfaen" w:hAnsi="Sylfaen"/>
          <w:sz w:val="22"/>
          <w:szCs w:val="22"/>
        </w:rPr>
        <w:t>lalicercvadze@gmai.com</w:t>
      </w:r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82A91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წინადადება  წარმოდგენილ იქნას დალუქულ კონვერტში მისამართზე: თბილისი ბეჟანიშვილის შესახვევი #8. მცირე საოჯახო სახლი. დღის 10-12 სთ შუალედში.</w:t>
      </w:r>
    </w:p>
    <w:p w:rsidR="00C67EC3" w:rsidRPr="00D82A91" w:rsidRDefault="00C67EC3" w:rsidP="00C67EC3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0C284B" w:rsidRDefault="0028109F"/>
    <w:sectPr w:rsidR="000C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46948"/>
    <w:multiLevelType w:val="multilevel"/>
    <w:tmpl w:val="9A2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26683"/>
    <w:multiLevelType w:val="hybridMultilevel"/>
    <w:tmpl w:val="0EDA1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A"/>
    <w:rsid w:val="0028109F"/>
    <w:rsid w:val="005B009A"/>
    <w:rsid w:val="0090296A"/>
    <w:rsid w:val="00C67EC3"/>
    <w:rsid w:val="00CC44A6"/>
    <w:rsid w:val="00E54FAF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310B"/>
  <w15:chartTrackingRefBased/>
  <w15:docId w15:val="{0170B9A1-A5E4-4491-99DA-E60D09FD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AD2tbilisi200</dc:creator>
  <cp:keywords/>
  <dc:description/>
  <cp:lastModifiedBy>AD2tbilisi200</cp:lastModifiedBy>
  <cp:revision>4</cp:revision>
  <dcterms:created xsi:type="dcterms:W3CDTF">2018-09-21T06:40:00Z</dcterms:created>
  <dcterms:modified xsi:type="dcterms:W3CDTF">2018-09-21T08:18:00Z</dcterms:modified>
</cp:coreProperties>
</file>